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附表1-2</w:t>
      </w:r>
      <w:r>
        <w:rPr>
          <w:rFonts w:ascii="宋体" w:hAnsi="宋体"/>
          <w:sz w:val="32"/>
        </w:rPr>
        <w:t>-2</w:t>
      </w:r>
    </w:p>
    <w:p>
      <w:pPr>
        <w:rPr>
          <w:rFonts w:ascii="宋体" w:hAnsi="宋体"/>
          <w:bCs/>
          <w:sz w:val="44"/>
          <w:szCs w:val="44"/>
        </w:rPr>
      </w:pPr>
    </w:p>
    <w:p>
      <w:pPr>
        <w:rPr>
          <w:rFonts w:ascii="宋体" w:hAnsi="宋体"/>
          <w:bCs/>
          <w:sz w:val="44"/>
          <w:szCs w:val="44"/>
        </w:rPr>
      </w:pPr>
    </w:p>
    <w:p>
      <w:pPr>
        <w:ind w:firstLine="1303" w:firstLineChars="295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集装箱</w:t>
      </w:r>
      <w:r>
        <w:rPr>
          <w:rFonts w:asciiTheme="majorEastAsia" w:hAnsiTheme="majorEastAsia" w:eastAsiaTheme="majorEastAsia"/>
          <w:b/>
          <w:sz w:val="44"/>
          <w:szCs w:val="44"/>
        </w:rPr>
        <w:t>班轮航线奖补（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长江</w:t>
      </w:r>
      <w:r>
        <w:rPr>
          <w:rFonts w:asciiTheme="majorEastAsia" w:hAnsiTheme="majorEastAsia" w:eastAsiaTheme="majorEastAsia"/>
          <w:b/>
          <w:sz w:val="44"/>
          <w:szCs w:val="44"/>
        </w:rPr>
        <w:t>内支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航线）             </w:t>
      </w:r>
      <w:r>
        <w:rPr>
          <w:rFonts w:hint="eastAsia" w:ascii="楷体" w:hAnsi="楷体" w:eastAsia="楷体"/>
          <w:sz w:val="44"/>
          <w:szCs w:val="44"/>
        </w:rPr>
        <w:t>非始发定点航线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申请表</w:t>
      </w:r>
    </w:p>
    <w:p>
      <w:pPr>
        <w:jc w:val="center"/>
        <w:rPr>
          <w:rFonts w:asciiTheme="majorEastAsia" w:hAnsiTheme="majorEastAsia" w:eastAsiaTheme="majorEastAsia"/>
          <w:b/>
          <w:sz w:val="48"/>
        </w:rPr>
      </w:pPr>
    </w:p>
    <w:p>
      <w:pPr>
        <w:jc w:val="center"/>
        <w:rPr>
          <w:rFonts w:ascii="宋体" w:hAnsi="宋体"/>
          <w:sz w:val="48"/>
        </w:rPr>
      </w:pPr>
    </w:p>
    <w:p>
      <w:pPr>
        <w:jc w:val="center"/>
        <w:rPr>
          <w:rFonts w:ascii="宋体" w:hAnsi="宋体"/>
          <w:sz w:val="48"/>
        </w:rPr>
      </w:pPr>
    </w:p>
    <w:p>
      <w:pPr>
        <w:ind w:firstLine="880" w:firstLineChars="200"/>
        <w:rPr>
          <w:rFonts w:ascii="宋体" w:hAnsi="宋体"/>
          <w:sz w:val="44"/>
        </w:rPr>
      </w:pPr>
    </w:p>
    <w:p>
      <w:pPr>
        <w:ind w:firstLine="880" w:firstLineChars="200"/>
        <w:rPr>
          <w:rFonts w:ascii="宋体" w:hAnsi="宋体"/>
          <w:sz w:val="44"/>
        </w:rPr>
      </w:pPr>
    </w:p>
    <w:p>
      <w:pPr>
        <w:rPr>
          <w:rFonts w:ascii="宋体" w:hAnsi="宋体"/>
          <w:b/>
          <w:bCs/>
          <w:sz w:val="36"/>
        </w:rPr>
      </w:pPr>
    </w:p>
    <w:p>
      <w:pPr>
        <w:tabs>
          <w:tab w:val="left" w:pos="7740"/>
        </w:tabs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278130</wp:posOffset>
                </wp:positionV>
                <wp:extent cx="1828800" cy="0"/>
                <wp:effectExtent l="0" t="0" r="0" b="0"/>
                <wp:wrapNone/>
                <wp:docPr id="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243pt;margin-top:21.9pt;height:0pt;width:144pt;z-index:251661312;mso-width-relative:page;mso-height-relative:page;" filled="f" stroked="t" coordsize="21600,21600" o:gfxdata="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CW45GH1gAAAAkB&#10;AAAPAAAAAAAAAAEAIAAAADgAAABkcnMvZG93bnJldi54bWxQSwECFAAUAAAACACHTuJAYeM1Ss4B&#10;AACQAwAADgAAAAAAAAABACAAAAA7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w:t xml:space="preserve">申请单位（个人）名称(盖章)    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276225</wp:posOffset>
                </wp:positionV>
                <wp:extent cx="2205990" cy="0"/>
                <wp:effectExtent l="0" t="0" r="0" b="0"/>
                <wp:wrapNone/>
                <wp:docPr id="2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59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212.3pt;margin-top:21.75pt;height:0pt;width:173.7pt;z-index:251662336;mso-width-relative:page;mso-height-relative:page;" filled="f" stroked="t" coordsize="21600,21600" o:gfxdata="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YmAWv9cAAAAJ&#10;AQAADwAAAAAAAAABACAAAAA4AAAAZHJzL2Rvd25yZXYueG1sUEsBAhQAFAAAAAgAh07iQPNRqPLO&#10;AQAAkAMAAA4AAAAAAAAAAQAgAAAAP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w:t>申请单位（个人）地址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ind w:firstLine="570"/>
        <w:rPr>
          <w:rFonts w:ascii="宋体" w:hAnsi="宋体"/>
          <w:sz w:val="32"/>
          <w:szCs w:val="32"/>
          <w:u w:val="single"/>
        </w:rPr>
      </w:pPr>
    </w:p>
    <w:p>
      <w:pPr>
        <w:ind w:firstLine="57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  请  日  期         年      月      日</w:t>
      </w:r>
    </w:p>
    <w:p>
      <w:pPr>
        <w:rPr>
          <w:rFonts w:ascii="宋体" w:hAnsi="宋体"/>
          <w:sz w:val="28"/>
        </w:rPr>
      </w:pPr>
      <w:bookmarkStart w:id="0" w:name="_GoBack"/>
      <w:bookmarkEnd w:id="0"/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黄石市港口</w:t>
      </w:r>
      <w:r>
        <w:rPr>
          <w:rFonts w:ascii="宋体" w:hAnsi="宋体"/>
          <w:sz w:val="32"/>
          <w:szCs w:val="32"/>
        </w:rPr>
        <w:t>物流发展中心</w:t>
      </w:r>
      <w:r>
        <w:rPr>
          <w:rFonts w:hint="eastAsia" w:ascii="宋体" w:hAnsi="宋体"/>
          <w:sz w:val="32"/>
          <w:szCs w:val="32"/>
        </w:rPr>
        <w:t>制</w:t>
      </w:r>
    </w:p>
    <w:p>
      <w:pPr>
        <w:spacing w:line="220" w:lineRule="atLeast"/>
      </w:pPr>
    </w:p>
    <w:p>
      <w:pPr>
        <w:spacing w:after="0" w:line="360" w:lineRule="auto"/>
        <w:ind w:left="440" w:leftChars="200"/>
        <w:jc w:val="both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</w:t>
      </w:r>
      <w:r>
        <w:rPr>
          <w:rFonts w:asciiTheme="minorEastAsia" w:hAnsiTheme="minorEastAsia" w:eastAsiaTheme="minorEastAsia"/>
          <w:b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奖补条件：</w:t>
      </w:r>
    </w:p>
    <w:p>
      <w:pPr>
        <w:spacing w:after="0" w:line="360" w:lineRule="auto"/>
        <w:ind w:left="440" w:left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以黄石新港为节点，开通并运营南京港及其下游方向的长江内支线定点航线；开通并运营城陵矶港及其上游方向的长江内支线定点航线。定点航线要求在黄石新港每航次</w:t>
      </w:r>
      <w:r>
        <w:rPr>
          <w:rFonts w:asciiTheme="minorEastAsia" w:hAnsiTheme="minorEastAsia" w:eastAsiaTheme="minorEastAsia"/>
          <w:sz w:val="28"/>
          <w:szCs w:val="28"/>
        </w:rPr>
        <w:t>装</w:t>
      </w:r>
      <w:r>
        <w:rPr>
          <w:rFonts w:hint="eastAsia" w:asciiTheme="minorEastAsia" w:hAnsiTheme="minorEastAsia" w:eastAsiaTheme="minorEastAsia"/>
          <w:sz w:val="28"/>
          <w:szCs w:val="28"/>
        </w:rPr>
        <w:t>载出港50标准重箱及其</w:t>
      </w:r>
      <w:r>
        <w:rPr>
          <w:rFonts w:asciiTheme="minorEastAsia" w:hAnsiTheme="minorEastAsia" w:eastAsiaTheme="minorEastAsia"/>
          <w:sz w:val="28"/>
          <w:szCs w:val="28"/>
        </w:rPr>
        <w:t>以上，且</w:t>
      </w:r>
      <w:r>
        <w:rPr>
          <w:rFonts w:hint="eastAsia" w:asciiTheme="minorEastAsia" w:hAnsiTheme="minorEastAsia" w:eastAsiaTheme="minorEastAsia"/>
          <w:sz w:val="28"/>
          <w:szCs w:val="28"/>
        </w:rPr>
        <w:t>每周班量不少于1班（含1班）并连续运行一个周期</w:t>
      </w:r>
      <w:r>
        <w:rPr>
          <w:rFonts w:asciiTheme="minorEastAsia" w:hAnsiTheme="minorEastAsia" w:eastAsia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3个月</w:t>
      </w:r>
      <w:r>
        <w:rPr>
          <w:rFonts w:asciiTheme="minorEastAsia" w:hAnsiTheme="minorEastAsia" w:eastAsiaTheme="minorEastAsia"/>
          <w:sz w:val="28"/>
          <w:szCs w:val="28"/>
        </w:rPr>
        <w:t>）</w:t>
      </w:r>
      <w:r>
        <w:rPr>
          <w:rFonts w:hint="eastAsia" w:asciiTheme="minorEastAsia" w:hAnsiTheme="minorEastAsia" w:eastAsiaTheme="minorEastAsia"/>
          <w:sz w:val="28"/>
          <w:szCs w:val="28"/>
        </w:rPr>
        <w:t>以上（含3个月）。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二</w:t>
      </w:r>
      <w:r>
        <w:rPr>
          <w:rFonts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奖补对象：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以黄石新港为节点，开通并运营长江</w:t>
      </w:r>
      <w:r>
        <w:rPr>
          <w:rFonts w:asciiTheme="minorEastAsia" w:hAnsiTheme="minorEastAsia" w:eastAsiaTheme="minorEastAsia"/>
          <w:sz w:val="28"/>
          <w:szCs w:val="28"/>
        </w:rPr>
        <w:t>内支线</w:t>
      </w:r>
      <w:r>
        <w:rPr>
          <w:rFonts w:hint="eastAsia" w:asciiTheme="minorEastAsia" w:hAnsiTheme="minorEastAsia" w:eastAsiaTheme="minorEastAsia"/>
          <w:sz w:val="28"/>
          <w:szCs w:val="28"/>
        </w:rPr>
        <w:t>定点航线的企业。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三</w:t>
      </w:r>
      <w:r>
        <w:rPr>
          <w:rFonts w:asciiTheme="minorEastAsia" w:hAnsiTheme="minorEastAsia" w:eastAsia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奖补周期：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3个月为一个周期进行兑现。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</w:t>
      </w:r>
      <w:r>
        <w:rPr>
          <w:rFonts w:asciiTheme="minorEastAsia" w:hAnsiTheme="minorEastAsia" w:eastAsiaTheme="minorEastAsia"/>
          <w:b/>
          <w:sz w:val="28"/>
          <w:szCs w:val="28"/>
        </w:rPr>
        <w:t>、相关规定：</w:t>
      </w:r>
    </w:p>
    <w:p>
      <w:pPr>
        <w:spacing w:after="0" w:line="360" w:lineRule="auto"/>
        <w:ind w:left="440" w:left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内支线固定始发班轮，外贸箱由申报企业提供黄石新港港口公司和海关出具的证明材料，内贸箱由申报企业提供黄石新港港口公司出具的证明材料。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五、填表说明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</w:t>
      </w:r>
      <w:r>
        <w:rPr>
          <w:rFonts w:asciiTheme="minorEastAsia" w:hAnsiTheme="minorEastAsia" w:eastAsia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/>
          <w:sz w:val="28"/>
          <w:szCs w:val="28"/>
        </w:rPr>
        <w:t>“经济类型”以工商登记营业执照为准。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</w:t>
      </w:r>
      <w:r>
        <w:rPr>
          <w:rFonts w:asciiTheme="minorEastAsia" w:hAnsiTheme="minorEastAsia" w:eastAsia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/>
          <w:sz w:val="28"/>
          <w:szCs w:val="28"/>
        </w:rPr>
        <w:t>“申报补贴金额”栏请在金额后注明计算算式。</w:t>
      </w:r>
    </w:p>
    <w:p>
      <w:pPr>
        <w:spacing w:after="0" w:line="360" w:lineRule="auto"/>
        <w:ind w:firstLine="420" w:firstLineChars="15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</w:t>
      </w:r>
      <w:r>
        <w:rPr>
          <w:rFonts w:asciiTheme="minorEastAsia" w:hAnsiTheme="minorEastAsia" w:eastAsiaTheme="minorEastAsia"/>
          <w:sz w:val="28"/>
          <w:szCs w:val="28"/>
        </w:rPr>
        <w:t>.</w:t>
      </w:r>
      <w:r>
        <w:rPr>
          <w:rFonts w:hint="eastAsia" w:asciiTheme="minorEastAsia" w:hAnsiTheme="minorEastAsia" w:eastAsiaTheme="minorEastAsia"/>
          <w:sz w:val="28"/>
          <w:szCs w:val="28"/>
        </w:rPr>
        <w:t>本申请表一式三份。</w:t>
      </w:r>
    </w:p>
    <w:p>
      <w:pPr>
        <w:pStyle w:val="14"/>
        <w:spacing w:after="0" w:line="360" w:lineRule="auto"/>
        <w:ind w:left="440" w:leftChars="200" w:firstLine="0" w:firstLineChars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br w:type="page"/>
      </w:r>
    </w:p>
    <w:tbl>
      <w:tblPr>
        <w:tblStyle w:val="7"/>
        <w:tblW w:w="5602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478"/>
        <w:gridCol w:w="8"/>
        <w:gridCol w:w="3001"/>
        <w:gridCol w:w="1666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48" w:hRule="atLeast"/>
        </w:trPr>
        <w:tc>
          <w:tcPr>
            <w:tcW w:w="1093" w:type="pct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企业名称</w:t>
            </w:r>
          </w:p>
        </w:tc>
        <w:tc>
          <w:tcPr>
            <w:tcW w:w="3906" w:type="pct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7" w:hRule="atLeast"/>
        </w:trPr>
        <w:tc>
          <w:tcPr>
            <w:tcW w:w="1093" w:type="pct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注册地址</w:t>
            </w:r>
          </w:p>
        </w:tc>
        <w:tc>
          <w:tcPr>
            <w:tcW w:w="3906" w:type="pct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4" w:hRule="atLeast"/>
        </w:trPr>
        <w:tc>
          <w:tcPr>
            <w:tcW w:w="1093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工商登记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注册日期</w:t>
            </w:r>
          </w:p>
        </w:tc>
        <w:tc>
          <w:tcPr>
            <w:tcW w:w="1533" w:type="pct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工商登记</w:t>
            </w:r>
          </w:p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注册号</w:t>
            </w:r>
          </w:p>
        </w:tc>
        <w:tc>
          <w:tcPr>
            <w:tcW w:w="1522" w:type="pct"/>
            <w:vAlign w:val="center"/>
          </w:tcPr>
          <w:p>
            <w:pPr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2" w:hRule="atLeast"/>
        </w:trPr>
        <w:tc>
          <w:tcPr>
            <w:tcW w:w="1093" w:type="pct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注册资金</w:t>
            </w:r>
          </w:p>
        </w:tc>
        <w:tc>
          <w:tcPr>
            <w:tcW w:w="1533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公司类型</w:t>
            </w:r>
          </w:p>
        </w:tc>
        <w:tc>
          <w:tcPr>
            <w:tcW w:w="1522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1" w:hRule="atLeast"/>
        </w:trPr>
        <w:tc>
          <w:tcPr>
            <w:tcW w:w="1093" w:type="pct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1533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经济类型</w:t>
            </w:r>
          </w:p>
        </w:tc>
        <w:tc>
          <w:tcPr>
            <w:tcW w:w="1522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3" w:hRule="atLeast"/>
        </w:trPr>
        <w:tc>
          <w:tcPr>
            <w:tcW w:w="1093" w:type="pct"/>
            <w:gridSpan w:val="3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联系人姓名</w:t>
            </w:r>
          </w:p>
        </w:tc>
        <w:tc>
          <w:tcPr>
            <w:tcW w:w="1533" w:type="pct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办公电话</w:t>
            </w:r>
          </w:p>
        </w:tc>
        <w:tc>
          <w:tcPr>
            <w:tcW w:w="1522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0" w:hRule="atLeast"/>
        </w:trPr>
        <w:tc>
          <w:tcPr>
            <w:tcW w:w="1093" w:type="pct"/>
            <w:gridSpan w:val="3"/>
            <w:vMerge w:val="continue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33" w:type="pct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手机号码</w:t>
            </w:r>
          </w:p>
        </w:tc>
        <w:tc>
          <w:tcPr>
            <w:tcW w:w="1522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76" w:hRule="atLeast"/>
        </w:trPr>
        <w:tc>
          <w:tcPr>
            <w:tcW w:w="1093" w:type="pct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申报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材料</w:t>
            </w:r>
          </w:p>
        </w:tc>
        <w:tc>
          <w:tcPr>
            <w:tcW w:w="3906" w:type="pct"/>
            <w:gridSpan w:val="3"/>
            <w:vAlign w:val="center"/>
          </w:tcPr>
          <w:p>
            <w:pPr>
              <w:spacing w:after="0" w:line="560" w:lineRule="exac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□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、外贸箱由申报企业提供黄石新港港口公司和海关出具的证明材料；□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、内贸箱由申报企业提供黄石新港港口公司出具的证明材料</w:t>
            </w:r>
          </w:p>
          <w:p>
            <w:pPr>
              <w:pStyle w:val="3"/>
              <w:spacing w:line="276" w:lineRule="auto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□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、</w:t>
            </w:r>
            <w:r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  <w:t>黄石新港港口公司出具的班轮协议、船期公告、班期证明、航行证明等相关证明材料</w:t>
            </w: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96" w:hRule="atLeast"/>
        </w:trPr>
        <w:tc>
          <w:tcPr>
            <w:tcW w:w="1093" w:type="pct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补贴标准</w:t>
            </w:r>
          </w:p>
        </w:tc>
        <w:tc>
          <w:tcPr>
            <w:tcW w:w="3906" w:type="pct"/>
            <w:gridSpan w:val="3"/>
            <w:vAlign w:val="center"/>
          </w:tcPr>
          <w:p>
            <w:pPr>
              <w:spacing w:line="560" w:lineRule="exac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按照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定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点航线按照每往返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一个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航次1万元的标准进行奖补。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3" w:hRule="atLeast"/>
        </w:trPr>
        <w:tc>
          <w:tcPr>
            <w:tcW w:w="1093" w:type="pct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申请补贴金额（计算算式）</w:t>
            </w:r>
          </w:p>
        </w:tc>
        <w:tc>
          <w:tcPr>
            <w:tcW w:w="3906" w:type="pct"/>
            <w:gridSpan w:val="3"/>
            <w:vAlign w:val="center"/>
          </w:tcPr>
          <w:p>
            <w:pPr>
              <w:pStyle w:val="3"/>
              <w:spacing w:line="360" w:lineRule="auto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63" w:hRule="atLeast"/>
        </w:trPr>
        <w:tc>
          <w:tcPr>
            <w:tcW w:w="5000" w:type="pct"/>
            <w:gridSpan w:val="6"/>
          </w:tcPr>
          <w:p>
            <w:pPr>
              <w:jc w:val="both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法人代表承诺：1、本表所填报内容及所附证明材料真实有效；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、本企业将按照有关法律、法规的规定报送相关信息。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   法定代表人（签章）：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（加盖公章）</w:t>
            </w:r>
          </w:p>
          <w:p>
            <w:pPr>
              <w:spacing w:line="420" w:lineRule="exact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 xml:space="preserve">                  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年</w:t>
            </w: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月</w:t>
            </w:r>
            <w:r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63" w:hRule="atLeast"/>
        </w:trPr>
        <w:tc>
          <w:tcPr>
            <w:tcW w:w="334" w:type="pct"/>
            <w:vMerge w:val="restart"/>
            <w:vAlign w:val="center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审核意见</w:t>
            </w: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55" w:type="pct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新港园区</w:t>
            </w:r>
          </w:p>
          <w:p>
            <w:pPr>
              <w:widowControl w:val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分中心意见</w:t>
            </w:r>
          </w:p>
        </w:tc>
        <w:tc>
          <w:tcPr>
            <w:tcW w:w="3910" w:type="pct"/>
            <w:gridSpan w:val="4"/>
            <w:vAlign w:val="top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审核人：                      分中心负责人：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63" w:hRule="atLeast"/>
        </w:trPr>
        <w:tc>
          <w:tcPr>
            <w:tcW w:w="334" w:type="pct"/>
            <w:vMerge w:val="continue"/>
            <w:vAlign w:val="top"/>
          </w:tcPr>
          <w:p>
            <w:pPr>
              <w:widowControl w:val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分管领导</w:t>
            </w:r>
          </w:p>
          <w:p>
            <w:pPr>
              <w:widowControl w:val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910" w:type="pct"/>
            <w:gridSpan w:val="4"/>
            <w:vAlign w:val="top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1446" w:firstLineChars="60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签字或签章：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63" w:hRule="atLeast"/>
        </w:trPr>
        <w:tc>
          <w:tcPr>
            <w:tcW w:w="334" w:type="pct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复核意见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政策法规科</w:t>
            </w:r>
          </w:p>
          <w:p>
            <w:pPr>
              <w:widowControl w:val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910" w:type="pct"/>
            <w:gridSpan w:val="4"/>
            <w:vAlign w:val="top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复核人：                      科室负责人：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63" w:hRule="atLeast"/>
        </w:trPr>
        <w:tc>
          <w:tcPr>
            <w:tcW w:w="334" w:type="pct"/>
            <w:vMerge w:val="continue"/>
            <w:vAlign w:val="top"/>
          </w:tcPr>
          <w:p>
            <w:pPr>
              <w:widowControl w:val="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分管领导</w:t>
            </w:r>
          </w:p>
          <w:p>
            <w:pPr>
              <w:widowControl w:val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910" w:type="pct"/>
            <w:gridSpan w:val="4"/>
            <w:vAlign w:val="top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ind w:firstLine="1205" w:firstLineChars="500"/>
              <w:jc w:val="both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签字或签章：                                年 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63" w:hRule="atLeast"/>
        </w:trPr>
        <w:tc>
          <w:tcPr>
            <w:tcW w:w="1089" w:type="pct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市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港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口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物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流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发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展</w:t>
            </w: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中</w:t>
            </w:r>
          </w:p>
          <w:p>
            <w:pPr>
              <w:widowControl w:val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心</w:t>
            </w:r>
          </w:p>
        </w:tc>
        <w:tc>
          <w:tcPr>
            <w:tcW w:w="3910" w:type="pct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单位法人（签字或签章）：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单位盖章</w:t>
            </w:r>
          </w:p>
          <w:p>
            <w:pPr>
              <w:widowControl w:val="0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       年      月     日                                                                           </w:t>
            </w:r>
          </w:p>
        </w:tc>
      </w:tr>
    </w:tbl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注：此表一式三份。</w:t>
      </w:r>
    </w:p>
    <w:p>
      <w:pPr>
        <w:spacing w:after="0"/>
      </w:pPr>
    </w:p>
    <w:sectPr>
      <w:pgSz w:w="11906" w:h="16838"/>
      <w:pgMar w:top="1361" w:right="1588" w:bottom="1134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31B0"/>
    <w:rsid w:val="00032251"/>
    <w:rsid w:val="00037B22"/>
    <w:rsid w:val="00051DC6"/>
    <w:rsid w:val="00056EDC"/>
    <w:rsid w:val="00067AD4"/>
    <w:rsid w:val="0007332E"/>
    <w:rsid w:val="000A3DEB"/>
    <w:rsid w:val="000B2A9F"/>
    <w:rsid w:val="000B66CB"/>
    <w:rsid w:val="000C4A21"/>
    <w:rsid w:val="000D7B0D"/>
    <w:rsid w:val="001218A4"/>
    <w:rsid w:val="0012516A"/>
    <w:rsid w:val="00134C76"/>
    <w:rsid w:val="00143893"/>
    <w:rsid w:val="00151121"/>
    <w:rsid w:val="00155E66"/>
    <w:rsid w:val="00156C59"/>
    <w:rsid w:val="00164661"/>
    <w:rsid w:val="00164C9C"/>
    <w:rsid w:val="0016658C"/>
    <w:rsid w:val="00182AF2"/>
    <w:rsid w:val="00191159"/>
    <w:rsid w:val="001968EA"/>
    <w:rsid w:val="001A2A82"/>
    <w:rsid w:val="001B6EC0"/>
    <w:rsid w:val="001C2AB1"/>
    <w:rsid w:val="001C5028"/>
    <w:rsid w:val="001D03D2"/>
    <w:rsid w:val="001D434C"/>
    <w:rsid w:val="001D685D"/>
    <w:rsid w:val="001E573D"/>
    <w:rsid w:val="001F292C"/>
    <w:rsid w:val="00215CA9"/>
    <w:rsid w:val="00235EE5"/>
    <w:rsid w:val="0024086A"/>
    <w:rsid w:val="00250387"/>
    <w:rsid w:val="00252AC5"/>
    <w:rsid w:val="00271960"/>
    <w:rsid w:val="002A5F74"/>
    <w:rsid w:val="002B6D82"/>
    <w:rsid w:val="002D708D"/>
    <w:rsid w:val="002E064E"/>
    <w:rsid w:val="002E75A9"/>
    <w:rsid w:val="00323B43"/>
    <w:rsid w:val="00342BF1"/>
    <w:rsid w:val="00352BB2"/>
    <w:rsid w:val="003551F1"/>
    <w:rsid w:val="00373FB2"/>
    <w:rsid w:val="00374E55"/>
    <w:rsid w:val="003822BB"/>
    <w:rsid w:val="00386C09"/>
    <w:rsid w:val="00392062"/>
    <w:rsid w:val="003B63BE"/>
    <w:rsid w:val="003C1E75"/>
    <w:rsid w:val="003C3BCD"/>
    <w:rsid w:val="003D2EA6"/>
    <w:rsid w:val="003D37D8"/>
    <w:rsid w:val="0040312C"/>
    <w:rsid w:val="00417ED6"/>
    <w:rsid w:val="00421F3A"/>
    <w:rsid w:val="00426133"/>
    <w:rsid w:val="004358AB"/>
    <w:rsid w:val="00442E66"/>
    <w:rsid w:val="00444DCB"/>
    <w:rsid w:val="00450DD7"/>
    <w:rsid w:val="00461DB4"/>
    <w:rsid w:val="00462E52"/>
    <w:rsid w:val="00465EF1"/>
    <w:rsid w:val="00471A62"/>
    <w:rsid w:val="00474D80"/>
    <w:rsid w:val="0048266D"/>
    <w:rsid w:val="004A37FB"/>
    <w:rsid w:val="004A7101"/>
    <w:rsid w:val="004B41F3"/>
    <w:rsid w:val="004C1692"/>
    <w:rsid w:val="004C42C9"/>
    <w:rsid w:val="004C67FC"/>
    <w:rsid w:val="004E5BBF"/>
    <w:rsid w:val="004F2334"/>
    <w:rsid w:val="004F60A5"/>
    <w:rsid w:val="005102A6"/>
    <w:rsid w:val="00526758"/>
    <w:rsid w:val="00541649"/>
    <w:rsid w:val="005621EA"/>
    <w:rsid w:val="005631C8"/>
    <w:rsid w:val="005839F6"/>
    <w:rsid w:val="005B7D6A"/>
    <w:rsid w:val="005C204B"/>
    <w:rsid w:val="005E1BEE"/>
    <w:rsid w:val="005F2E2D"/>
    <w:rsid w:val="005F419A"/>
    <w:rsid w:val="00602F60"/>
    <w:rsid w:val="00615581"/>
    <w:rsid w:val="00623993"/>
    <w:rsid w:val="0063265F"/>
    <w:rsid w:val="00635A9A"/>
    <w:rsid w:val="00676541"/>
    <w:rsid w:val="00684DD5"/>
    <w:rsid w:val="006945E0"/>
    <w:rsid w:val="006A0324"/>
    <w:rsid w:val="006B2E91"/>
    <w:rsid w:val="006C270E"/>
    <w:rsid w:val="006C42AC"/>
    <w:rsid w:val="006D532F"/>
    <w:rsid w:val="006E5995"/>
    <w:rsid w:val="006F6EA8"/>
    <w:rsid w:val="007009A4"/>
    <w:rsid w:val="00704952"/>
    <w:rsid w:val="00707471"/>
    <w:rsid w:val="00734E2A"/>
    <w:rsid w:val="007379EA"/>
    <w:rsid w:val="007473B1"/>
    <w:rsid w:val="00747404"/>
    <w:rsid w:val="007564C9"/>
    <w:rsid w:val="00764CA7"/>
    <w:rsid w:val="00772893"/>
    <w:rsid w:val="007C02B5"/>
    <w:rsid w:val="007C3947"/>
    <w:rsid w:val="007D3352"/>
    <w:rsid w:val="007E236D"/>
    <w:rsid w:val="00833A6C"/>
    <w:rsid w:val="00833C87"/>
    <w:rsid w:val="008340A8"/>
    <w:rsid w:val="008540D5"/>
    <w:rsid w:val="00875F8F"/>
    <w:rsid w:val="008763EC"/>
    <w:rsid w:val="0088366F"/>
    <w:rsid w:val="00883CA0"/>
    <w:rsid w:val="00891C91"/>
    <w:rsid w:val="008B7726"/>
    <w:rsid w:val="008C3A3D"/>
    <w:rsid w:val="008E61E3"/>
    <w:rsid w:val="009057CF"/>
    <w:rsid w:val="00915748"/>
    <w:rsid w:val="00943CD0"/>
    <w:rsid w:val="009736EF"/>
    <w:rsid w:val="009A0219"/>
    <w:rsid w:val="009E35D2"/>
    <w:rsid w:val="009E450E"/>
    <w:rsid w:val="009E5B84"/>
    <w:rsid w:val="00A138D7"/>
    <w:rsid w:val="00A17210"/>
    <w:rsid w:val="00A25FFB"/>
    <w:rsid w:val="00A52C5B"/>
    <w:rsid w:val="00A5359D"/>
    <w:rsid w:val="00A60833"/>
    <w:rsid w:val="00A9254F"/>
    <w:rsid w:val="00A97743"/>
    <w:rsid w:val="00AA083A"/>
    <w:rsid w:val="00AA178A"/>
    <w:rsid w:val="00AB2B12"/>
    <w:rsid w:val="00AC1560"/>
    <w:rsid w:val="00AC2F4E"/>
    <w:rsid w:val="00AD0AAF"/>
    <w:rsid w:val="00AE1130"/>
    <w:rsid w:val="00AE4F9B"/>
    <w:rsid w:val="00AE709C"/>
    <w:rsid w:val="00B03944"/>
    <w:rsid w:val="00B17AAC"/>
    <w:rsid w:val="00B32718"/>
    <w:rsid w:val="00B32C53"/>
    <w:rsid w:val="00B32CAD"/>
    <w:rsid w:val="00B41A2A"/>
    <w:rsid w:val="00B42F26"/>
    <w:rsid w:val="00BA39D5"/>
    <w:rsid w:val="00BD372F"/>
    <w:rsid w:val="00BE2A7B"/>
    <w:rsid w:val="00C01230"/>
    <w:rsid w:val="00C01CBD"/>
    <w:rsid w:val="00C130A1"/>
    <w:rsid w:val="00C1491F"/>
    <w:rsid w:val="00C478FE"/>
    <w:rsid w:val="00C56187"/>
    <w:rsid w:val="00C6765C"/>
    <w:rsid w:val="00C774A6"/>
    <w:rsid w:val="00C807DA"/>
    <w:rsid w:val="00C87F20"/>
    <w:rsid w:val="00C95AAF"/>
    <w:rsid w:val="00CA657D"/>
    <w:rsid w:val="00CB1162"/>
    <w:rsid w:val="00CC1CB8"/>
    <w:rsid w:val="00CE3B34"/>
    <w:rsid w:val="00D11312"/>
    <w:rsid w:val="00D210CD"/>
    <w:rsid w:val="00D31D50"/>
    <w:rsid w:val="00D5166C"/>
    <w:rsid w:val="00D6324F"/>
    <w:rsid w:val="00D705D2"/>
    <w:rsid w:val="00D70F63"/>
    <w:rsid w:val="00DB1619"/>
    <w:rsid w:val="00DD2EF2"/>
    <w:rsid w:val="00DD6512"/>
    <w:rsid w:val="00DF0506"/>
    <w:rsid w:val="00E13AC0"/>
    <w:rsid w:val="00E15D0C"/>
    <w:rsid w:val="00E26A85"/>
    <w:rsid w:val="00E331A1"/>
    <w:rsid w:val="00E34BFF"/>
    <w:rsid w:val="00E7441B"/>
    <w:rsid w:val="00E8596A"/>
    <w:rsid w:val="00E93BC4"/>
    <w:rsid w:val="00EA53A0"/>
    <w:rsid w:val="00EA7F7D"/>
    <w:rsid w:val="00EC306C"/>
    <w:rsid w:val="00EC53D2"/>
    <w:rsid w:val="00ED2C60"/>
    <w:rsid w:val="00ED3278"/>
    <w:rsid w:val="00EE4E9F"/>
    <w:rsid w:val="00EF09C1"/>
    <w:rsid w:val="00F063D7"/>
    <w:rsid w:val="00F0745F"/>
    <w:rsid w:val="00FA6379"/>
    <w:rsid w:val="00FB1190"/>
    <w:rsid w:val="00FB42D9"/>
    <w:rsid w:val="00FC57EB"/>
    <w:rsid w:val="00FE3AE9"/>
    <w:rsid w:val="00FE6323"/>
    <w:rsid w:val="00FE7B3C"/>
    <w:rsid w:val="3CB76573"/>
    <w:rsid w:val="3EA69F7E"/>
    <w:rsid w:val="57DEBB07"/>
    <w:rsid w:val="7ED58C31"/>
    <w:rsid w:val="7F3BE4EF"/>
    <w:rsid w:val="7F3CA300"/>
    <w:rsid w:val="D3FB3789"/>
    <w:rsid w:val="D779AE12"/>
    <w:rsid w:val="DF99FFEA"/>
    <w:rsid w:val="E76DE265"/>
    <w:rsid w:val="E7BFB36E"/>
    <w:rsid w:val="FC9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仿宋_GB2312" w:cs="Times New Roman"/>
      <w:kern w:val="2"/>
      <w:sz w:val="28"/>
      <w:szCs w:val="20"/>
    </w:rPr>
  </w:style>
  <w:style w:type="paragraph" w:styleId="3">
    <w:name w:val="Plain Text"/>
    <w:basedOn w:val="1"/>
    <w:link w:val="13"/>
    <w:unhideWhenUsed/>
    <w:qFormat/>
    <w:uiPriority w:val="99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正文文本 字符"/>
    <w:basedOn w:val="9"/>
    <w:link w:val="2"/>
    <w:qFormat/>
    <w:uiPriority w:val="0"/>
    <w:rPr>
      <w:rFonts w:ascii="Times New Roman" w:hAnsi="Times New Roman" w:eastAsia="仿宋_GB2312" w:cs="Times New Roman"/>
      <w:kern w:val="2"/>
      <w:sz w:val="28"/>
      <w:szCs w:val="20"/>
    </w:rPr>
  </w:style>
  <w:style w:type="character" w:customStyle="1" w:styleId="13">
    <w:name w:val="纯文本 字符"/>
    <w:basedOn w:val="9"/>
    <w:link w:val="3"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</Words>
  <Characters>1011</Characters>
  <Lines>8</Lines>
  <Paragraphs>2</Paragraphs>
  <TotalTime>7</TotalTime>
  <ScaleCrop>false</ScaleCrop>
  <LinksUpToDate>false</LinksUpToDate>
  <CharactersWithSpaces>1186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gh</dc:creator>
  <cp:lastModifiedBy>gh</cp:lastModifiedBy>
  <cp:lastPrinted>2022-01-14T10:39:06Z</cp:lastPrinted>
  <dcterms:modified xsi:type="dcterms:W3CDTF">2022-01-14T10:54:12Z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